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303E" w14:textId="3D5523AA" w:rsidR="00E21630" w:rsidRDefault="00E21630" w:rsidP="00E21630">
      <w:pPr>
        <w:spacing w:after="0"/>
        <w:jc w:val="right"/>
        <w:rPr>
          <w:rFonts w:ascii="Arial" w:hAnsi="Arial"/>
          <w:b/>
          <w:bCs/>
          <w:color w:val="333333"/>
        </w:rPr>
      </w:pPr>
    </w:p>
    <w:p w14:paraId="092AA04E" w14:textId="52EB9DF0" w:rsidR="00E21630" w:rsidRDefault="00740760" w:rsidP="00740760">
      <w:pPr>
        <w:spacing w:after="0"/>
        <w:jc w:val="center"/>
        <w:rPr>
          <w:rFonts w:ascii="Arial" w:hAnsi="Arial"/>
          <w:b/>
          <w:bCs/>
          <w:color w:val="333333"/>
        </w:rPr>
      </w:pPr>
      <w:r>
        <w:rPr>
          <w:noProof/>
          <w14:ligatures w14:val="standardContextual"/>
        </w:rPr>
        <w:drawing>
          <wp:anchor distT="0" distB="0" distL="114300" distR="114300" simplePos="0" relativeHeight="251661312" behindDoc="0" locked="0" layoutInCell="1" allowOverlap="1" wp14:anchorId="7D6D73F5" wp14:editId="69377454">
            <wp:simplePos x="0" y="0"/>
            <wp:positionH relativeFrom="column">
              <wp:posOffset>4728210</wp:posOffset>
            </wp:positionH>
            <wp:positionV relativeFrom="paragraph">
              <wp:posOffset>2204085</wp:posOffset>
            </wp:positionV>
            <wp:extent cx="491490" cy="381000"/>
            <wp:effectExtent l="0" t="0" r="3810" b="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490" cy="3810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0288" behindDoc="0" locked="0" layoutInCell="1" allowOverlap="1" wp14:anchorId="40E639E2" wp14:editId="3416D382">
                <wp:simplePos x="0" y="0"/>
                <wp:positionH relativeFrom="column">
                  <wp:posOffset>4613910</wp:posOffset>
                </wp:positionH>
                <wp:positionV relativeFrom="paragraph">
                  <wp:posOffset>2108835</wp:posOffset>
                </wp:positionV>
                <wp:extent cx="2924175" cy="571500"/>
                <wp:effectExtent l="0" t="0" r="28575" b="19050"/>
                <wp:wrapNone/>
                <wp:docPr id="422055019" name="Textfeld 2"/>
                <wp:cNvGraphicFramePr/>
                <a:graphic xmlns:a="http://schemas.openxmlformats.org/drawingml/2006/main">
                  <a:graphicData uri="http://schemas.microsoft.com/office/word/2010/wordprocessingShape">
                    <wps:wsp>
                      <wps:cNvSpPr txBox="1"/>
                      <wps:spPr>
                        <a:xfrm>
                          <a:off x="0" y="0"/>
                          <a:ext cx="2924175" cy="571500"/>
                        </a:xfrm>
                        <a:prstGeom prst="rect">
                          <a:avLst/>
                        </a:prstGeom>
                        <a:solidFill>
                          <a:schemeClr val="lt1"/>
                        </a:solidFill>
                        <a:ln w="6350">
                          <a:solidFill>
                            <a:prstClr val="black"/>
                          </a:solidFill>
                        </a:ln>
                      </wps:spPr>
                      <wps:txbx>
                        <w:txbxContent>
                          <w:p w14:paraId="0C3694EB" w14:textId="663F83CD" w:rsidR="00740760" w:rsidRDefault="00740760" w:rsidP="00740760">
                            <w:pPr>
                              <w:shd w:val="clear" w:color="auto" w:fill="92D050"/>
                              <w:spacing w:after="0"/>
                              <w:jc w:val="center"/>
                              <w:rPr>
                                <w:b/>
                                <w:bCs/>
                                <w:sz w:val="32"/>
                                <w:szCs w:val="32"/>
                              </w:rPr>
                            </w:pPr>
                            <w:r>
                              <w:rPr>
                                <w:b/>
                                <w:bCs/>
                                <w:sz w:val="32"/>
                                <w:szCs w:val="32"/>
                              </w:rPr>
                              <w:t xml:space="preserve">              </w:t>
                            </w:r>
                            <w:r w:rsidRPr="00740760">
                              <w:rPr>
                                <w:b/>
                                <w:bCs/>
                                <w:sz w:val="32"/>
                                <w:szCs w:val="32"/>
                              </w:rPr>
                              <w:t>Etnapolis-Gesundheit</w:t>
                            </w:r>
                          </w:p>
                          <w:p w14:paraId="0B736240" w14:textId="12BF2299" w:rsidR="00740760" w:rsidRPr="00740760" w:rsidRDefault="00740760" w:rsidP="00740760">
                            <w:pPr>
                              <w:shd w:val="clear" w:color="auto" w:fill="92D050"/>
                              <w:jc w:val="center"/>
                              <w:rPr>
                                <w:b/>
                                <w:bCs/>
                                <w:sz w:val="20"/>
                                <w:szCs w:val="20"/>
                              </w:rPr>
                            </w:pPr>
                            <w:r w:rsidRPr="00740760">
                              <w:rPr>
                                <w:b/>
                                <w:bCs/>
                                <w:sz w:val="20"/>
                                <w:szCs w:val="20"/>
                              </w:rPr>
                              <w:t>Melior de cinere surgo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639E2" id="_x0000_t202" coordsize="21600,21600" o:spt="202" path="m,l,21600r21600,l21600,xe">
                <v:stroke joinstyle="miter"/>
                <v:path gradientshapeok="t" o:connecttype="rect"/>
              </v:shapetype>
              <v:shape id="Textfeld 2" o:spid="_x0000_s1026" type="#_x0000_t202" style="position:absolute;left:0;text-align:left;margin-left:363.3pt;margin-top:166.05pt;width:230.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xNOAIAAHw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" fillcolor="white [3201]" strokeweight=".5pt">
                <v:textbox>
                  <w:txbxContent>
                    <w:p w14:paraId="0C3694EB" w14:textId="663F83CD" w:rsidR="00740760" w:rsidRDefault="00740760" w:rsidP="00740760">
                      <w:pPr>
                        <w:shd w:val="clear" w:color="auto" w:fill="92D050"/>
                        <w:spacing w:after="0"/>
                        <w:jc w:val="center"/>
                        <w:rPr>
                          <w:b/>
                          <w:bCs/>
                          <w:sz w:val="32"/>
                          <w:szCs w:val="32"/>
                        </w:rPr>
                      </w:pPr>
                      <w:r>
                        <w:rPr>
                          <w:b/>
                          <w:bCs/>
                          <w:sz w:val="32"/>
                          <w:szCs w:val="32"/>
                        </w:rPr>
                        <w:t xml:space="preserve">              </w:t>
                      </w:r>
                      <w:r w:rsidRPr="00740760">
                        <w:rPr>
                          <w:b/>
                          <w:bCs/>
                          <w:sz w:val="32"/>
                          <w:szCs w:val="32"/>
                        </w:rPr>
                        <w:t>Etnapolis-Gesundheit</w:t>
                      </w:r>
                    </w:p>
                    <w:p w14:paraId="0B736240" w14:textId="12BF2299" w:rsidR="00740760" w:rsidRPr="00740760" w:rsidRDefault="00740760" w:rsidP="00740760">
                      <w:pPr>
                        <w:shd w:val="clear" w:color="auto" w:fill="92D050"/>
                        <w:jc w:val="center"/>
                        <w:rPr>
                          <w:b/>
                          <w:bCs/>
                          <w:sz w:val="20"/>
                          <w:szCs w:val="20"/>
                        </w:rPr>
                      </w:pPr>
                      <w:r w:rsidRPr="00740760">
                        <w:rPr>
                          <w:b/>
                          <w:bCs/>
                          <w:sz w:val="20"/>
                          <w:szCs w:val="20"/>
                        </w:rPr>
                        <w:t>Melior de cinere surgo</w:t>
                      </w:r>
                    </w:p>
                  </w:txbxContent>
                </v:textbox>
              </v:shape>
            </w:pict>
          </mc:Fallback>
        </mc:AlternateContent>
      </w:r>
      <w:r>
        <w:rPr>
          <w:noProof/>
        </w:rPr>
        <w:drawing>
          <wp:inline distT="0" distB="0" distL="0" distR="0" wp14:anchorId="518E5585" wp14:editId="10A4B497">
            <wp:extent cx="6400800" cy="2286000"/>
            <wp:effectExtent l="0" t="0" r="0" b="0"/>
            <wp:docPr id="207274840" name="Grafik 1" descr="Happy young business people doing stretching sport exercises standing together in office. Group of smiling company employees exercising fitness for health during a break from a work.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young business people doing stretching sport exercises standing together in office. Group of smiling company employees exercising fitness for health during a break from a work.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2286000"/>
                    </a:xfrm>
                    <a:prstGeom prst="rect">
                      <a:avLst/>
                    </a:prstGeom>
                    <a:noFill/>
                    <a:ln>
                      <a:noFill/>
                    </a:ln>
                  </pic:spPr>
                </pic:pic>
              </a:graphicData>
            </a:graphic>
          </wp:inline>
        </w:drawing>
      </w:r>
    </w:p>
    <w:p w14:paraId="73D72942" w14:textId="1C31C3A5" w:rsidR="00E21630" w:rsidRDefault="00E21630" w:rsidP="00E21630">
      <w:pPr>
        <w:spacing w:after="0"/>
        <w:rPr>
          <w:rFonts w:ascii="Arial" w:hAnsi="Arial"/>
          <w:b/>
          <w:bCs/>
          <w:color w:val="333333"/>
        </w:rPr>
      </w:pPr>
    </w:p>
    <w:p w14:paraId="3B7F4652" w14:textId="69CB9D62" w:rsidR="00E21630" w:rsidRDefault="00E21630" w:rsidP="00E21630">
      <w:pPr>
        <w:spacing w:after="0"/>
        <w:jc w:val="right"/>
        <w:rPr>
          <w:rFonts w:ascii="Arial" w:hAnsi="Arial"/>
          <w:b/>
          <w:bCs/>
          <w:color w:val="333333"/>
        </w:rPr>
      </w:pPr>
    </w:p>
    <w:p w14:paraId="5C2E1C9D" w14:textId="7133BF1B" w:rsidR="00E21630" w:rsidRDefault="00740760" w:rsidP="00E21630">
      <w:pPr>
        <w:spacing w:after="0"/>
        <w:rPr>
          <w:rFonts w:ascii="Arial" w:hAnsi="Arial"/>
          <w:b/>
          <w:bCs/>
          <w:color w:val="333333"/>
        </w:rPr>
      </w:pPr>
      <w:r>
        <w:rPr>
          <w:rFonts w:ascii="Arial" w:hAnsi="Arial"/>
          <w:b/>
          <w:bCs/>
          <w:color w:val="333333"/>
        </w:rPr>
        <w:t xml:space="preserve">Herzlich willkommen </w:t>
      </w:r>
      <w:r w:rsidR="00D34164">
        <w:rPr>
          <w:rFonts w:ascii="Arial" w:hAnsi="Arial"/>
          <w:b/>
          <w:bCs/>
          <w:color w:val="333333"/>
        </w:rPr>
        <w:t xml:space="preserve">bei unserem Konzept über </w:t>
      </w:r>
      <w:r w:rsidR="002B1A87" w:rsidRPr="002B1A87">
        <w:rPr>
          <w:rFonts w:ascii="Arial" w:hAnsi="Arial"/>
          <w:b/>
          <w:bCs/>
          <w:color w:val="333333"/>
        </w:rPr>
        <w:t>Gesundheitsförderung- Präventionsberatung und  allgemeines Gesundheitsmanagement</w:t>
      </w:r>
    </w:p>
    <w:p w14:paraId="6FAF9C7B" w14:textId="5D2BE91B" w:rsidR="00E21630" w:rsidRPr="00D34164" w:rsidRDefault="00E21630" w:rsidP="00E21630">
      <w:pPr>
        <w:spacing w:after="0"/>
        <w:jc w:val="both"/>
        <w:rPr>
          <w:rFonts w:asciiTheme="minorHAnsi" w:hAnsiTheme="minorHAnsi"/>
          <w:color w:val="333333"/>
        </w:rPr>
      </w:pPr>
      <w:bookmarkStart w:id="0" w:name="_Hlk216023386"/>
      <w:r w:rsidRPr="00D34164">
        <w:rPr>
          <w:rFonts w:asciiTheme="minorHAnsi" w:hAnsiTheme="minorHAnsi"/>
          <w:color w:val="333333"/>
        </w:rPr>
        <w:t>Um im Alter gesund zu bleiben, sollten Sie</w:t>
      </w:r>
      <w:r w:rsidR="00D34164">
        <w:rPr>
          <w:rFonts w:asciiTheme="minorHAnsi" w:hAnsiTheme="minorHAnsi"/>
          <w:color w:val="333333"/>
        </w:rPr>
        <w:t xml:space="preserve"> </w:t>
      </w:r>
      <w:hyperlink r:id="rId7" w:history="1">
        <w:r w:rsidRPr="00D34164">
          <w:rPr>
            <w:rFonts w:asciiTheme="minorHAnsi" w:hAnsiTheme="minorHAnsi"/>
            <w:color w:val="333333"/>
          </w:rPr>
          <w:t>soziale Beziehungen pflegen</w:t>
        </w:r>
      </w:hyperlink>
      <w:r w:rsidRPr="00D34164">
        <w:rPr>
          <w:rFonts w:asciiTheme="minorHAnsi" w:hAnsiTheme="minorHAnsi"/>
          <w:color w:val="333333"/>
        </w:rPr>
        <w:t>, sich körperlich und geistig</w:t>
      </w:r>
      <w:r w:rsidR="00D34164">
        <w:rPr>
          <w:rFonts w:asciiTheme="minorHAnsi" w:hAnsiTheme="minorHAnsi"/>
          <w:color w:val="333333"/>
        </w:rPr>
        <w:t xml:space="preserve"> </w:t>
      </w:r>
      <w:r w:rsidRPr="00D34164">
        <w:rPr>
          <w:rFonts w:asciiTheme="minorHAnsi" w:hAnsiTheme="minorHAnsi"/>
          <w:color w:val="333333"/>
        </w:rPr>
        <w:t>aktiv halten, sich mit der Nutzung von Technologie wie</w:t>
      </w:r>
      <w:r w:rsidR="00D34164">
        <w:rPr>
          <w:rFonts w:asciiTheme="minorHAnsi" w:hAnsiTheme="minorHAnsi"/>
          <w:color w:val="333333"/>
        </w:rPr>
        <w:t xml:space="preserve"> </w:t>
      </w:r>
      <w:hyperlink r:id="rId8" w:history="1">
        <w:r w:rsidRPr="00D34164">
          <w:rPr>
            <w:rFonts w:asciiTheme="minorHAnsi" w:hAnsiTheme="minorHAnsi"/>
            <w:color w:val="333333"/>
          </w:rPr>
          <w:t>mHealth</w:t>
        </w:r>
      </w:hyperlink>
      <w:r w:rsidRPr="00D34164">
        <w:rPr>
          <w:rFonts w:asciiTheme="minorHAnsi" w:hAnsiTheme="minorHAnsi"/>
          <w:color w:val="333333"/>
        </w:rPr>
        <w:t xml:space="preserve"> (mobiles Gesundheitswesen) befassen und eine</w:t>
      </w:r>
      <w:r w:rsidR="00D34164">
        <w:rPr>
          <w:rFonts w:asciiTheme="minorHAnsi" w:hAnsiTheme="minorHAnsi"/>
          <w:color w:val="333333"/>
        </w:rPr>
        <w:t xml:space="preserve"> </w:t>
      </w:r>
      <w:r w:rsidRPr="00D34164">
        <w:rPr>
          <w:rFonts w:asciiTheme="minorHAnsi" w:hAnsiTheme="minorHAnsi"/>
          <w:color w:val="333333"/>
        </w:rPr>
        <w:t>positive Haltung gegenüber dem Älterwerden entwickeln.</w:t>
      </w:r>
    </w:p>
    <w:bookmarkEnd w:id="0"/>
    <w:p w14:paraId="57BC8DA9" w14:textId="5D6F40D6" w:rsidR="00E21630" w:rsidRDefault="00E21630" w:rsidP="00E21630">
      <w:pPr>
        <w:spacing w:after="0"/>
        <w:jc w:val="both"/>
        <w:rPr>
          <w:rFonts w:ascii="Arial" w:hAnsi="Arial"/>
          <w:color w:val="333333"/>
        </w:rPr>
      </w:pPr>
      <w:r>
        <w:rPr>
          <w:rFonts w:ascii="Arial" w:hAnsi="Arial"/>
          <w:color w:val="333333"/>
        </w:rPr>
        <w:t>Die Konzentration auf Empowerment kann helfen, die</w:t>
      </w:r>
      <w:r w:rsidR="00D34164">
        <w:rPr>
          <w:rFonts w:ascii="Arial" w:hAnsi="Arial"/>
          <w:color w:val="333333"/>
        </w:rPr>
        <w:t xml:space="preserve"> </w:t>
      </w:r>
      <w:r>
        <w:rPr>
          <w:rFonts w:ascii="Arial" w:hAnsi="Arial"/>
          <w:color w:val="333333"/>
        </w:rPr>
        <w:t>Selbstbestimmung über die eigene Gesundheit zu stärken, während eine gute Lebensqualität und das Vermeiden sozialer Isolation weitere wichtige Aspekte sind. </w:t>
      </w:r>
    </w:p>
    <w:p w14:paraId="04F62992" w14:textId="77777777" w:rsidR="00D34164" w:rsidRDefault="00D34164" w:rsidP="00E21630">
      <w:pPr>
        <w:spacing w:after="0"/>
        <w:jc w:val="both"/>
        <w:rPr>
          <w:rFonts w:ascii="Arial" w:hAnsi="Arial"/>
          <w:b/>
          <w:bCs/>
          <w:color w:val="333333"/>
        </w:rPr>
      </w:pPr>
      <w:bookmarkStart w:id="1" w:name="_Hlk216022547"/>
    </w:p>
    <w:p w14:paraId="6F0D6337" w14:textId="3FCF0B6D" w:rsidR="00E21630" w:rsidRDefault="00E21630" w:rsidP="00E21630">
      <w:pPr>
        <w:spacing w:after="0"/>
        <w:jc w:val="both"/>
        <w:rPr>
          <w:rFonts w:ascii="Arial" w:hAnsi="Arial"/>
          <w:b/>
          <w:bCs/>
          <w:color w:val="333333"/>
        </w:rPr>
      </w:pPr>
      <w:r>
        <w:rPr>
          <w:rFonts w:ascii="Arial" w:hAnsi="Arial"/>
          <w:b/>
          <w:bCs/>
          <w:color w:val="333333"/>
        </w:rPr>
        <w:t>Wichtige Aspekte für die Gesundheit im Alter</w:t>
      </w:r>
    </w:p>
    <w:p w14:paraId="679F0B8F" w14:textId="77777777" w:rsidR="00D34164" w:rsidRDefault="00D34164" w:rsidP="00E21630">
      <w:pPr>
        <w:spacing w:after="0"/>
        <w:jc w:val="both"/>
        <w:rPr>
          <w:rFonts w:ascii="Arial" w:hAnsi="Arial"/>
          <w:b/>
          <w:bCs/>
          <w:color w:val="333333"/>
        </w:rPr>
      </w:pPr>
    </w:p>
    <w:p w14:paraId="6FA415DC" w14:textId="77777777" w:rsidR="00E21630" w:rsidRDefault="00E21630" w:rsidP="00E21630">
      <w:pPr>
        <w:pStyle w:val="Textbody"/>
        <w:numPr>
          <w:ilvl w:val="0"/>
          <w:numId w:val="1"/>
        </w:numPr>
        <w:spacing w:after="0"/>
        <w:jc w:val="both"/>
      </w:pPr>
      <w:r>
        <w:rPr>
          <w:rStyle w:val="StrongEmphasis"/>
          <w:rFonts w:ascii="Arial" w:hAnsi="Arial"/>
        </w:rPr>
        <w:t>Soziale Kontakte:</w:t>
      </w:r>
    </w:p>
    <w:p w14:paraId="04E793E2" w14:textId="77777777" w:rsidR="00E21630" w:rsidRDefault="00E21630" w:rsidP="00E21630">
      <w:pPr>
        <w:pStyle w:val="Textbody"/>
        <w:jc w:val="both"/>
        <w:rPr>
          <w:rFonts w:ascii="Arial" w:hAnsi="Arial"/>
        </w:rPr>
      </w:pPr>
      <w:r>
        <w:rPr>
          <w:rFonts w:ascii="Arial" w:hAnsi="Arial"/>
        </w:rPr>
        <w:t>Der Aufbau und die Pflege sozialer Beziehungen sind entscheidend, um Einsamkeit im Alter vorzubeugen und ein erfülltes Leben zu führen. </w:t>
      </w:r>
    </w:p>
    <w:p w14:paraId="4320FB6D" w14:textId="77777777" w:rsidR="00E21630" w:rsidRDefault="00E21630" w:rsidP="00E21630">
      <w:pPr>
        <w:pStyle w:val="Textbody"/>
        <w:numPr>
          <w:ilvl w:val="0"/>
          <w:numId w:val="2"/>
        </w:numPr>
        <w:spacing w:after="0"/>
        <w:jc w:val="both"/>
      </w:pPr>
      <w:r>
        <w:rPr>
          <w:rStyle w:val="StrongEmphasis"/>
          <w:rFonts w:ascii="Arial" w:hAnsi="Arial"/>
        </w:rPr>
        <w:t>Körperliche Aktivität:</w:t>
      </w:r>
    </w:p>
    <w:p w14:paraId="635A5285" w14:textId="77777777" w:rsidR="00E21630" w:rsidRDefault="00E21630" w:rsidP="00E21630">
      <w:pPr>
        <w:pStyle w:val="Textbody"/>
        <w:spacing w:after="0"/>
        <w:jc w:val="both"/>
        <w:rPr>
          <w:rFonts w:ascii="Arial" w:hAnsi="Arial"/>
        </w:rPr>
      </w:pPr>
      <w:r>
        <w:rPr>
          <w:rFonts w:ascii="Arial" w:hAnsi="Arial"/>
        </w:rPr>
        <w:t>Regelmäßige Bewegung ist wichtig, um die Funktionsfähigkeit des Körpers zu erhalten. </w:t>
      </w:r>
    </w:p>
    <w:p w14:paraId="40F78BD4" w14:textId="77777777" w:rsidR="00187434" w:rsidRDefault="00187434" w:rsidP="00E21630">
      <w:pPr>
        <w:pStyle w:val="Textbody"/>
        <w:spacing w:after="0"/>
        <w:jc w:val="both"/>
        <w:rPr>
          <w:rFonts w:ascii="Arial" w:hAnsi="Arial"/>
        </w:rPr>
      </w:pPr>
    </w:p>
    <w:p w14:paraId="1B1CB4ED" w14:textId="77777777" w:rsidR="00E21630" w:rsidRDefault="00E21630" w:rsidP="00E21630">
      <w:pPr>
        <w:pStyle w:val="Textbody"/>
        <w:numPr>
          <w:ilvl w:val="0"/>
          <w:numId w:val="3"/>
        </w:numPr>
        <w:spacing w:after="0"/>
        <w:jc w:val="both"/>
      </w:pPr>
      <w:r>
        <w:rPr>
          <w:rStyle w:val="StrongEmphasis"/>
          <w:rFonts w:ascii="Arial" w:hAnsi="Arial"/>
        </w:rPr>
        <w:t>Geistige Aktivität:</w:t>
      </w:r>
    </w:p>
    <w:p w14:paraId="37559E32" w14:textId="77777777" w:rsidR="00E21630" w:rsidRDefault="00E21630" w:rsidP="00E21630">
      <w:pPr>
        <w:pStyle w:val="Textbody"/>
        <w:spacing w:after="0"/>
        <w:jc w:val="both"/>
        <w:rPr>
          <w:rFonts w:ascii="Arial" w:hAnsi="Arial"/>
        </w:rPr>
      </w:pPr>
      <w:r>
        <w:rPr>
          <w:rFonts w:ascii="Arial" w:hAnsi="Arial"/>
        </w:rPr>
        <w:t>Das Lernen neuer Fähigkeiten, wie z. B. der Umgang mit mobilen Geräten (mHealth), hält den Geist fit und ermöglicht Selbstkontrolle über die eigene Gesundheit. </w:t>
      </w:r>
    </w:p>
    <w:p w14:paraId="4E434574" w14:textId="77777777" w:rsidR="00D34164" w:rsidRDefault="00D34164" w:rsidP="00E21630">
      <w:pPr>
        <w:pStyle w:val="Textbody"/>
        <w:spacing w:after="0"/>
        <w:jc w:val="both"/>
        <w:rPr>
          <w:rFonts w:ascii="Arial" w:hAnsi="Arial"/>
        </w:rPr>
      </w:pPr>
    </w:p>
    <w:p w14:paraId="351E284B" w14:textId="3F1D2963" w:rsidR="00D34164" w:rsidRDefault="00D34164" w:rsidP="00D34164">
      <w:pPr>
        <w:pStyle w:val="Textbody"/>
        <w:spacing w:after="0"/>
        <w:rPr>
          <w:rFonts w:ascii="Arial" w:hAnsi="Arial"/>
        </w:rPr>
      </w:pPr>
      <w:r>
        <w:rPr>
          <w:noProof/>
        </w:rPr>
        <w:drawing>
          <wp:anchor distT="0" distB="0" distL="114300" distR="114300" simplePos="0" relativeHeight="251662336" behindDoc="0" locked="0" layoutInCell="1" allowOverlap="1" wp14:anchorId="2BAAE95F" wp14:editId="087A6791">
            <wp:simplePos x="6267450" y="628650"/>
            <wp:positionH relativeFrom="column">
              <wp:align>right</wp:align>
            </wp:positionH>
            <wp:positionV relativeFrom="paragraph">
              <wp:align>top</wp:align>
            </wp:positionV>
            <wp:extent cx="3524250" cy="2286000"/>
            <wp:effectExtent l="0" t="0" r="0" b="0"/>
            <wp:wrapSquare wrapText="bothSides"/>
            <wp:docPr id="431739873" name="Grafik 3" descr="Team of corporate office employees having yoga and meditation workout for body and mind. Group of happy calm relaxed people meditating and recharging with energy for both physical and mental we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 of corporate office employees having yoga and meditation workout for body and mind. Group of happy calm relaxed people meditating and recharging with energy for both physical and mental welln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2286000"/>
                    </a:xfrm>
                    <a:prstGeom prst="rect">
                      <a:avLst/>
                    </a:prstGeom>
                    <a:noFill/>
                    <a:ln>
                      <a:noFill/>
                    </a:ln>
                  </pic:spPr>
                </pic:pic>
              </a:graphicData>
            </a:graphic>
          </wp:anchor>
        </w:drawing>
      </w:r>
    </w:p>
    <w:p w14:paraId="6AA2C38C" w14:textId="77777777" w:rsidR="00E21630" w:rsidRDefault="00E21630" w:rsidP="00E21630">
      <w:pPr>
        <w:pStyle w:val="Textbody"/>
        <w:numPr>
          <w:ilvl w:val="0"/>
          <w:numId w:val="4"/>
        </w:numPr>
        <w:spacing w:after="0"/>
        <w:jc w:val="both"/>
      </w:pPr>
      <w:r>
        <w:rPr>
          <w:rStyle w:val="StrongEmphasis"/>
          <w:rFonts w:ascii="Arial" w:hAnsi="Arial"/>
        </w:rPr>
        <w:t>Empowerment:</w:t>
      </w:r>
    </w:p>
    <w:p w14:paraId="0134B478" w14:textId="77777777" w:rsidR="00E21630" w:rsidRDefault="00E21630" w:rsidP="00E21630">
      <w:pPr>
        <w:pStyle w:val="Textbody"/>
        <w:spacing w:after="0"/>
        <w:jc w:val="both"/>
        <w:rPr>
          <w:rFonts w:ascii="Arial" w:hAnsi="Arial"/>
        </w:rPr>
      </w:pPr>
      <w:r>
        <w:rPr>
          <w:rFonts w:ascii="Arial" w:hAnsi="Arial"/>
        </w:rPr>
        <w:t>Das Konzept des Empowerments zielt darauf ab, Menschen die Fähigkeit zu geben, ihre Gesundheit aktiv zu managen und gesundheitsrelevante Aspekte in ihrer Lebensführung zu erkennen und zu verstehen. </w:t>
      </w:r>
    </w:p>
    <w:p w14:paraId="3D52C984" w14:textId="77777777" w:rsidR="00D34164" w:rsidRDefault="00D34164" w:rsidP="00E21630">
      <w:pPr>
        <w:pStyle w:val="Textbody"/>
        <w:spacing w:after="0"/>
        <w:jc w:val="both"/>
        <w:rPr>
          <w:rFonts w:ascii="Arial" w:hAnsi="Arial"/>
        </w:rPr>
      </w:pPr>
    </w:p>
    <w:p w14:paraId="5DFC1491" w14:textId="77777777" w:rsidR="00E21630" w:rsidRDefault="00E21630" w:rsidP="00E21630">
      <w:pPr>
        <w:pStyle w:val="Textbody"/>
        <w:numPr>
          <w:ilvl w:val="0"/>
          <w:numId w:val="5"/>
        </w:numPr>
        <w:spacing w:after="0"/>
        <w:jc w:val="both"/>
      </w:pPr>
      <w:r>
        <w:rPr>
          <w:rStyle w:val="StrongEmphasis"/>
          <w:rFonts w:ascii="Arial" w:hAnsi="Arial"/>
        </w:rPr>
        <w:t>Lebensqualität:</w:t>
      </w:r>
    </w:p>
    <w:p w14:paraId="2AADE8A1" w14:textId="77777777" w:rsidR="00E21630" w:rsidRDefault="00E21630" w:rsidP="00E21630">
      <w:pPr>
        <w:pStyle w:val="Textbody"/>
        <w:jc w:val="both"/>
        <w:rPr>
          <w:rFonts w:ascii="Arial" w:hAnsi="Arial"/>
        </w:rPr>
      </w:pPr>
      <w:r>
        <w:rPr>
          <w:rFonts w:ascii="Arial" w:hAnsi="Arial"/>
        </w:rPr>
        <w:t>Gerontologische Pflege konzentriert sich auf die Erhaltung der bestmöglichen Lebensqualität, wobei das soziale Umfeld und die gesellschaftlichen Gegebenheiten berücksichtigt werden. </w:t>
      </w:r>
    </w:p>
    <w:p w14:paraId="6E83BB38" w14:textId="77777777" w:rsidR="00E21630" w:rsidRPr="00D34164" w:rsidRDefault="00E21630" w:rsidP="00E21630">
      <w:pPr>
        <w:pStyle w:val="Textbody"/>
        <w:jc w:val="both"/>
        <w:rPr>
          <w:b/>
          <w:bCs/>
          <w:sz w:val="22"/>
          <w:szCs w:val="22"/>
        </w:rPr>
      </w:pPr>
      <w:bookmarkStart w:id="2" w:name="_Hlk216022865"/>
      <w:bookmarkEnd w:id="1"/>
      <w:r w:rsidRPr="00D34164">
        <w:rPr>
          <w:b/>
          <w:bCs/>
          <w:sz w:val="22"/>
          <w:szCs w:val="22"/>
        </w:rPr>
        <w:t>Herausforderungen im Alter und mögliche Lösungen</w:t>
      </w:r>
    </w:p>
    <w:p w14:paraId="4EB23B1E" w14:textId="77777777" w:rsidR="00E21630" w:rsidRPr="008E56E9" w:rsidRDefault="00E21630" w:rsidP="00E21630">
      <w:pPr>
        <w:pStyle w:val="Textbody"/>
        <w:numPr>
          <w:ilvl w:val="0"/>
          <w:numId w:val="7"/>
        </w:numPr>
        <w:spacing w:after="0"/>
        <w:jc w:val="both"/>
        <w:rPr>
          <w:sz w:val="22"/>
          <w:szCs w:val="22"/>
        </w:rPr>
      </w:pPr>
      <w:r w:rsidRPr="008E56E9">
        <w:rPr>
          <w:rStyle w:val="StrongEmphasis"/>
          <w:sz w:val="22"/>
          <w:szCs w:val="22"/>
        </w:rPr>
        <w:t>Soziale Isolation:</w:t>
      </w:r>
    </w:p>
    <w:p w14:paraId="2692DDC5" w14:textId="77777777" w:rsidR="00E21630" w:rsidRDefault="00E21630" w:rsidP="00E21630">
      <w:pPr>
        <w:pStyle w:val="Textbody"/>
        <w:jc w:val="both"/>
        <w:rPr>
          <w:sz w:val="22"/>
          <w:szCs w:val="22"/>
        </w:rPr>
      </w:pPr>
      <w:r w:rsidRPr="008E56E9">
        <w:rPr>
          <w:sz w:val="22"/>
          <w:szCs w:val="22"/>
        </w:rPr>
        <w:t>Dies kann zu psychosozialen und körperlichen Folgeschäden führen. Maßnahmen zur Förderung sozialer Kontakte sind daher sehr wichtig. </w:t>
      </w:r>
    </w:p>
    <w:p w14:paraId="2B7C63D3" w14:textId="77777777" w:rsidR="00D34164" w:rsidRPr="008E56E9" w:rsidRDefault="00D34164" w:rsidP="00E21630">
      <w:pPr>
        <w:pStyle w:val="Textbody"/>
        <w:jc w:val="both"/>
        <w:rPr>
          <w:sz w:val="22"/>
          <w:szCs w:val="22"/>
        </w:rPr>
      </w:pPr>
    </w:p>
    <w:p w14:paraId="73425AAC" w14:textId="77777777" w:rsidR="00E21630" w:rsidRPr="008E56E9" w:rsidRDefault="00E21630" w:rsidP="00E21630">
      <w:pPr>
        <w:pStyle w:val="Textbody"/>
        <w:numPr>
          <w:ilvl w:val="0"/>
          <w:numId w:val="8"/>
        </w:numPr>
        <w:spacing w:after="0"/>
        <w:jc w:val="both"/>
        <w:rPr>
          <w:sz w:val="22"/>
          <w:szCs w:val="22"/>
        </w:rPr>
      </w:pPr>
      <w:r w:rsidRPr="008E56E9">
        <w:rPr>
          <w:rStyle w:val="StrongEmphasis"/>
          <w:sz w:val="22"/>
          <w:szCs w:val="22"/>
        </w:rPr>
        <w:t>Technische Hürden:</w:t>
      </w:r>
    </w:p>
    <w:p w14:paraId="737B3AEB" w14:textId="6CF886A0" w:rsidR="00E21630" w:rsidRDefault="00E21630" w:rsidP="00E21630">
      <w:pPr>
        <w:pStyle w:val="Textbody"/>
        <w:spacing w:after="0"/>
        <w:jc w:val="both"/>
        <w:rPr>
          <w:sz w:val="22"/>
          <w:szCs w:val="22"/>
        </w:rPr>
      </w:pPr>
      <w:r w:rsidRPr="008E56E9">
        <w:rPr>
          <w:sz w:val="22"/>
          <w:szCs w:val="22"/>
        </w:rPr>
        <w:t>Ältere Menschen sind nicht immer mit neuen Technologien vertraut, wie etwa mHealth-Anwendungen. Kampagnen und Schulungen können hier Abhilfe schaffen. </w:t>
      </w:r>
    </w:p>
    <w:p w14:paraId="087EB4DD" w14:textId="77777777" w:rsidR="00D34164" w:rsidRPr="008E56E9" w:rsidRDefault="00D34164" w:rsidP="00E21630">
      <w:pPr>
        <w:pStyle w:val="Textbody"/>
        <w:spacing w:after="0"/>
        <w:jc w:val="both"/>
        <w:rPr>
          <w:sz w:val="22"/>
          <w:szCs w:val="22"/>
        </w:rPr>
      </w:pPr>
    </w:p>
    <w:p w14:paraId="0FE79834" w14:textId="50ABD481" w:rsidR="00E21630" w:rsidRPr="00D34164" w:rsidRDefault="00E21630" w:rsidP="00D34164">
      <w:pPr>
        <w:pStyle w:val="Textbody"/>
        <w:numPr>
          <w:ilvl w:val="0"/>
          <w:numId w:val="9"/>
        </w:numPr>
        <w:spacing w:after="0"/>
        <w:ind w:left="437"/>
        <w:jc w:val="both"/>
        <w:rPr>
          <w:sz w:val="22"/>
          <w:szCs w:val="22"/>
        </w:rPr>
      </w:pPr>
      <w:r w:rsidRPr="00D34164">
        <w:rPr>
          <w:rStyle w:val="StrongEmphasis"/>
          <w:sz w:val="22"/>
          <w:szCs w:val="22"/>
        </w:rPr>
        <w:t>Negative Altersbilder:</w:t>
      </w:r>
    </w:p>
    <w:p w14:paraId="42C6BF22" w14:textId="77777777" w:rsidR="00E21630" w:rsidRDefault="00E21630" w:rsidP="00E21630">
      <w:pPr>
        <w:pStyle w:val="Textbody"/>
        <w:jc w:val="both"/>
        <w:rPr>
          <w:sz w:val="22"/>
          <w:szCs w:val="22"/>
        </w:rPr>
      </w:pPr>
      <w:r w:rsidRPr="008E56E9">
        <w:rPr>
          <w:sz w:val="22"/>
          <w:szCs w:val="22"/>
        </w:rPr>
        <w:t>Stereotypen über ältere Menschen können zu Diskriminierung führen und die Rechte von Senioren einschränken. Es ist wichtig zu erkennen, dass ältere Menschen keine homogene Gruppe sind und ihr Gesundheitszustand individuell ist. </w:t>
      </w:r>
    </w:p>
    <w:p w14:paraId="5CD5ABE3" w14:textId="77777777" w:rsidR="00D34164" w:rsidRPr="008E56E9" w:rsidRDefault="00D34164" w:rsidP="00E21630">
      <w:pPr>
        <w:pStyle w:val="Textbody"/>
        <w:jc w:val="both"/>
        <w:rPr>
          <w:sz w:val="22"/>
          <w:szCs w:val="22"/>
        </w:rPr>
      </w:pPr>
    </w:p>
    <w:p w14:paraId="44CD87E3" w14:textId="77777777" w:rsidR="00E21630" w:rsidRPr="008E56E9" w:rsidRDefault="00E21630" w:rsidP="00E21630">
      <w:pPr>
        <w:pStyle w:val="Textbody"/>
        <w:jc w:val="both"/>
        <w:rPr>
          <w:b/>
          <w:bCs/>
          <w:sz w:val="22"/>
          <w:szCs w:val="22"/>
        </w:rPr>
      </w:pPr>
      <w:r w:rsidRPr="008E56E9">
        <w:rPr>
          <w:b/>
          <w:bCs/>
          <w:sz w:val="22"/>
          <w:szCs w:val="22"/>
        </w:rPr>
        <w:t>Messung der Gesundheit im Alter </w:t>
      </w:r>
    </w:p>
    <w:p w14:paraId="1BE2E32A" w14:textId="77777777" w:rsidR="00E21630" w:rsidRPr="008E56E9" w:rsidRDefault="00E21630" w:rsidP="00E21630">
      <w:pPr>
        <w:pStyle w:val="Textbody"/>
        <w:numPr>
          <w:ilvl w:val="0"/>
          <w:numId w:val="11"/>
        </w:numPr>
        <w:jc w:val="both"/>
        <w:rPr>
          <w:sz w:val="22"/>
          <w:szCs w:val="22"/>
        </w:rPr>
      </w:pPr>
      <w:r w:rsidRPr="008E56E9">
        <w:rPr>
          <w:rStyle w:val="StrongEmphasis"/>
          <w:sz w:val="22"/>
          <w:szCs w:val="22"/>
        </w:rPr>
        <w:t>Gesunde Lebensjahre (GLJ):</w:t>
      </w:r>
      <w:r w:rsidRPr="008E56E9">
        <w:rPr>
          <w:sz w:val="22"/>
          <w:szCs w:val="22"/>
        </w:rPr>
        <w:t xml:space="preserve"> Diese Kennzahl gibt an, wie viele Jahre eine Person ab einem bestimmten Alter noch in guter gesundheitlicher Verfassung leben wird, indem sie Informationen zu Sterblichkeit und Krankheit verknüpft.</w:t>
      </w:r>
    </w:p>
    <w:bookmarkEnd w:id="2"/>
    <w:p w14:paraId="4107333F" w14:textId="77777777" w:rsidR="009B411E" w:rsidRDefault="009B411E"/>
    <w:sectPr w:rsidR="009B411E" w:rsidSect="00D34164">
      <w:pgSz w:w="16838" w:h="11906" w:orient="landscape"/>
      <w:pgMar w:top="680"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B3F"/>
    <w:multiLevelType w:val="multilevel"/>
    <w:tmpl w:val="943A0B44"/>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228C1C9E"/>
    <w:multiLevelType w:val="multilevel"/>
    <w:tmpl w:val="1B2AA4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22D16518"/>
    <w:multiLevelType w:val="multilevel"/>
    <w:tmpl w:val="22EAC1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2E1345BE"/>
    <w:multiLevelType w:val="multilevel"/>
    <w:tmpl w:val="8DEE8B48"/>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31F71321"/>
    <w:multiLevelType w:val="multilevel"/>
    <w:tmpl w:val="2438F61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336857DF"/>
    <w:multiLevelType w:val="multilevel"/>
    <w:tmpl w:val="BDE45D8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47246655"/>
    <w:multiLevelType w:val="multilevel"/>
    <w:tmpl w:val="165875C8"/>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48040590"/>
    <w:multiLevelType w:val="multilevel"/>
    <w:tmpl w:val="243C819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55474F22"/>
    <w:multiLevelType w:val="multilevel"/>
    <w:tmpl w:val="1D7C85E6"/>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5AA06A01"/>
    <w:multiLevelType w:val="multilevel"/>
    <w:tmpl w:val="E7E02222"/>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68F71989"/>
    <w:multiLevelType w:val="multilevel"/>
    <w:tmpl w:val="C0702D1C"/>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688172340">
    <w:abstractNumId w:val="4"/>
  </w:num>
  <w:num w:numId="2" w16cid:durableId="125467453">
    <w:abstractNumId w:val="10"/>
  </w:num>
  <w:num w:numId="3" w16cid:durableId="1324235898">
    <w:abstractNumId w:val="0"/>
  </w:num>
  <w:num w:numId="4" w16cid:durableId="963661033">
    <w:abstractNumId w:val="8"/>
  </w:num>
  <w:num w:numId="5" w16cid:durableId="1678314126">
    <w:abstractNumId w:val="9"/>
  </w:num>
  <w:num w:numId="6" w16cid:durableId="249511000">
    <w:abstractNumId w:val="1"/>
  </w:num>
  <w:num w:numId="7" w16cid:durableId="923613833">
    <w:abstractNumId w:val="5"/>
  </w:num>
  <w:num w:numId="8" w16cid:durableId="2005277187">
    <w:abstractNumId w:val="6"/>
  </w:num>
  <w:num w:numId="9" w16cid:durableId="1433891961">
    <w:abstractNumId w:val="3"/>
  </w:num>
  <w:num w:numId="10" w16cid:durableId="1926768056">
    <w:abstractNumId w:val="2"/>
  </w:num>
  <w:num w:numId="11" w16cid:durableId="139966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30"/>
    <w:rsid w:val="00060617"/>
    <w:rsid w:val="00187434"/>
    <w:rsid w:val="002376B8"/>
    <w:rsid w:val="002B1A87"/>
    <w:rsid w:val="004D2F64"/>
    <w:rsid w:val="005636C8"/>
    <w:rsid w:val="006D2130"/>
    <w:rsid w:val="00740760"/>
    <w:rsid w:val="00823433"/>
    <w:rsid w:val="008E56E9"/>
    <w:rsid w:val="008F66A5"/>
    <w:rsid w:val="009B411E"/>
    <w:rsid w:val="00A179CA"/>
    <w:rsid w:val="00A81EBA"/>
    <w:rsid w:val="00AC4FC7"/>
    <w:rsid w:val="00CE3BD2"/>
    <w:rsid w:val="00CE5162"/>
    <w:rsid w:val="00D34164"/>
    <w:rsid w:val="00D5025B"/>
    <w:rsid w:val="00E21630"/>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6F92"/>
  <w15:chartTrackingRefBased/>
  <w15:docId w15:val="{6692D13F-74E7-4BC7-BB25-C2A95807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630"/>
    <w:pPr>
      <w:suppressAutoHyphens/>
      <w:autoSpaceDN w:val="0"/>
      <w:spacing w:line="276" w:lineRule="auto"/>
      <w:textAlignment w:val="baseline"/>
    </w:pPr>
    <w:rPr>
      <w:rFonts w:ascii="Aptos" w:eastAsia="SimSun" w:hAnsi="Aptos" w:cs="Tahoma"/>
      <w:kern w:val="3"/>
      <w14:ligatures w14:val="none"/>
    </w:rPr>
  </w:style>
  <w:style w:type="paragraph" w:styleId="berschrift1">
    <w:name w:val="heading 1"/>
    <w:basedOn w:val="Standard"/>
    <w:next w:val="Standard"/>
    <w:link w:val="berschrift1Zchn"/>
    <w:uiPriority w:val="9"/>
    <w:qFormat/>
    <w:rsid w:val="00E21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1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16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16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16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16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16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16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16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16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16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16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16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16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16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16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16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1630"/>
    <w:rPr>
      <w:rFonts w:eastAsiaTheme="majorEastAsia" w:cstheme="majorBidi"/>
      <w:color w:val="272727" w:themeColor="text1" w:themeTint="D8"/>
    </w:rPr>
  </w:style>
  <w:style w:type="paragraph" w:styleId="Titel">
    <w:name w:val="Title"/>
    <w:basedOn w:val="Standard"/>
    <w:next w:val="Standard"/>
    <w:link w:val="TitelZchn"/>
    <w:uiPriority w:val="10"/>
    <w:qFormat/>
    <w:rsid w:val="00E21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16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16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16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16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1630"/>
    <w:rPr>
      <w:i/>
      <w:iCs/>
      <w:color w:val="404040" w:themeColor="text1" w:themeTint="BF"/>
    </w:rPr>
  </w:style>
  <w:style w:type="paragraph" w:styleId="Listenabsatz">
    <w:name w:val="List Paragraph"/>
    <w:basedOn w:val="Standard"/>
    <w:uiPriority w:val="34"/>
    <w:qFormat/>
    <w:rsid w:val="00E21630"/>
    <w:pPr>
      <w:ind w:left="720"/>
      <w:contextualSpacing/>
    </w:pPr>
  </w:style>
  <w:style w:type="character" w:styleId="IntensiveHervorhebung">
    <w:name w:val="Intense Emphasis"/>
    <w:basedOn w:val="Absatz-Standardschriftart"/>
    <w:uiPriority w:val="21"/>
    <w:qFormat/>
    <w:rsid w:val="00E21630"/>
    <w:rPr>
      <w:i/>
      <w:iCs/>
      <w:color w:val="0F4761" w:themeColor="accent1" w:themeShade="BF"/>
    </w:rPr>
  </w:style>
  <w:style w:type="paragraph" w:styleId="IntensivesZitat">
    <w:name w:val="Intense Quote"/>
    <w:basedOn w:val="Standard"/>
    <w:next w:val="Standard"/>
    <w:link w:val="IntensivesZitatZchn"/>
    <w:uiPriority w:val="30"/>
    <w:qFormat/>
    <w:rsid w:val="00E21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1630"/>
    <w:rPr>
      <w:i/>
      <w:iCs/>
      <w:color w:val="0F4761" w:themeColor="accent1" w:themeShade="BF"/>
    </w:rPr>
  </w:style>
  <w:style w:type="character" w:styleId="IntensiverVerweis">
    <w:name w:val="Intense Reference"/>
    <w:basedOn w:val="Absatz-Standardschriftart"/>
    <w:uiPriority w:val="32"/>
    <w:qFormat/>
    <w:rsid w:val="00E21630"/>
    <w:rPr>
      <w:b/>
      <w:bCs/>
      <w:smallCaps/>
      <w:color w:val="0F4761" w:themeColor="accent1" w:themeShade="BF"/>
      <w:spacing w:val="5"/>
    </w:rPr>
  </w:style>
  <w:style w:type="paragraph" w:customStyle="1" w:styleId="Textbody">
    <w:name w:val="Text body"/>
    <w:basedOn w:val="Standard"/>
    <w:rsid w:val="00E21630"/>
    <w:pPr>
      <w:spacing w:after="120"/>
    </w:pPr>
  </w:style>
  <w:style w:type="character" w:customStyle="1" w:styleId="StrongEmphasis">
    <w:name w:val="Strong Emphasis"/>
    <w:rsid w:val="00E21630"/>
    <w:rPr>
      <w:b/>
      <w:bCs/>
    </w:rPr>
  </w:style>
  <w:style w:type="table" w:styleId="Tabellenraster">
    <w:name w:val="Table Grid"/>
    <w:basedOn w:val="NormaleTabelle"/>
    <w:uiPriority w:val="39"/>
    <w:rsid w:val="00E2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16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5539dfb16aea6726&amp;cs=0&amp;sxsrf=AE3TifPVIDaJYHCVlNig7BQsry_7t45UxQ%3A1759841214172&amp;q=mHealth&amp;sa=X&amp;ved=2ahUKEwjovJOzj5KQAxUD_7sIHSoxHecQxccNegQIAhAC&amp;mstk=AUtExfBOUR0pJVpMaayAjWtvFhZzs7BHbw9GrpDByMTVZExT5ICcoZMqdu2kud88RaJRcBdOY_SlOfcKCMi7aEvn2UmjCdLGVQYyRpQv1QYZWQPfCfL4oTA5gbzvmC53ZmmpGd_zxph5Fxlv9mGueYIsy-jjwIgZG0T8LXjPDpJoIW1CqQV54MWyFZCed9pDU2US0mTtcIF8cUxtHjiA-BWk8quNNtesoik2CSqYLKTHP9rStOGak3K3VLuFq4-NgzwjrEWKl1olO3foA0DVyEqqiVzb&amp;csui=3" TargetMode="External"/><Relationship Id="rId3" Type="http://schemas.openxmlformats.org/officeDocument/2006/relationships/settings" Target="settings.xml"/><Relationship Id="rId7" Type="http://schemas.openxmlformats.org/officeDocument/2006/relationships/hyperlink" Target="https://www.google.com/search?sca_esv=5539dfb16aea6726&amp;cs=0&amp;sxsrf=AE3TifPVIDaJYHCVlNig7BQsry_7t45UxQ%3A1759841214172&amp;q=soziale+Beziehungen+pflegen&amp;sa=X&amp;ved=2ahUKEwjovJOzj5KQAxUD_7sIHSoxHecQxccNegQIAhAB&amp;mstk=AUtExfBOUR0pJVpMaayAjWtvFhZzs7BHbw9GrpDByMTVZExT5ICcoZMqdu2kud88RaJRcBdOY_SlOfcKCMi7aEvn2UmjCdLGVQYyRpQv1QYZWQPfCfL4oTA5gbzvmC53ZmmpGd_zxph5Fxlv9mGueYIsy-jjwIgZG0T8LXjPDpJoIW1CqQV54MWyFZCed9pDU2US0mTtcIF8cUxtHjiA-BWk8quNNtesoik2CSqYLKTHP9rStOGak3K3VLuFq4-NgzwjrEWKl1olO3foA0DVyEqqiVzb&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12</cp:revision>
  <cp:lastPrinted>2026-01-07T13:43:00Z</cp:lastPrinted>
  <dcterms:created xsi:type="dcterms:W3CDTF">2025-11-28T17:36:00Z</dcterms:created>
  <dcterms:modified xsi:type="dcterms:W3CDTF">2026-01-12T17:12:00Z</dcterms:modified>
</cp:coreProperties>
</file>