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9EC40" w14:textId="46C913BF" w:rsidR="00715830" w:rsidRDefault="00715830" w:rsidP="007A0AB0"/>
    <w:tbl>
      <w:tblPr>
        <w:tblStyle w:val="Tabellenraster"/>
        <w:tblpPr w:leftFromText="141" w:rightFromText="141" w:vertAnchor="text" w:horzAnchor="margin" w:tblpXSpec="right" w:tblpY="-156"/>
        <w:tblW w:w="0" w:type="auto"/>
        <w:shd w:val="clear" w:color="auto" w:fill="92D050"/>
        <w:tblLook w:val="04A0" w:firstRow="1" w:lastRow="0" w:firstColumn="1" w:lastColumn="0" w:noHBand="0" w:noVBand="1"/>
      </w:tblPr>
      <w:tblGrid>
        <w:gridCol w:w="3397"/>
      </w:tblGrid>
      <w:tr w:rsidR="000C487A" w14:paraId="386086AA" w14:textId="77777777" w:rsidTr="00B046A5">
        <w:trPr>
          <w:trHeight w:val="988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14:paraId="2EFFD62F" w14:textId="35EA6A02" w:rsidR="000C487A" w:rsidRDefault="00715830" w:rsidP="00715830">
            <w:pPr>
              <w:jc w:val="both"/>
            </w:pPr>
            <w:bookmarkStart w:id="0" w:name="_Hlk214184723"/>
            <w:r w:rsidRPr="00294BA1">
              <w:rPr>
                <w:noProof/>
                <w:shd w:val="clear" w:color="auto" w:fill="92D050"/>
              </w:rPr>
              <w:drawing>
                <wp:anchor distT="0" distB="0" distL="114300" distR="114300" simplePos="0" relativeHeight="251659264" behindDoc="0" locked="0" layoutInCell="1" allowOverlap="1" wp14:anchorId="6A1AF874" wp14:editId="4AB14828">
                  <wp:simplePos x="0" y="0"/>
                  <wp:positionH relativeFrom="margin">
                    <wp:posOffset>12700</wp:posOffset>
                  </wp:positionH>
                  <wp:positionV relativeFrom="paragraph">
                    <wp:posOffset>76200</wp:posOffset>
                  </wp:positionV>
                  <wp:extent cx="571500" cy="438150"/>
                  <wp:effectExtent l="0" t="0" r="0" b="0"/>
                  <wp:wrapNone/>
                  <wp:docPr id="847937944" name="Grafik 6" descr="Ein Bild, das Farbigkeit, Grafiken, Kreativität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743818" name="Grafik 6" descr="Ein Bild, das Farbigkeit, Grafiken, Kreativität enthält.&#10;&#10;KI-generierte Inhalte können fehlerhaft sei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7C884B8" w14:textId="040F6C0A" w:rsidR="000C487A" w:rsidRPr="00715830" w:rsidRDefault="000C487A" w:rsidP="00715830">
            <w:pPr>
              <w:tabs>
                <w:tab w:val="left" w:pos="150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40"/>
                <w:szCs w:val="40"/>
              </w:rPr>
              <w:t xml:space="preserve">             </w:t>
            </w:r>
            <w:r w:rsidRPr="00715830">
              <w:rPr>
                <w:b/>
                <w:bCs/>
                <w:sz w:val="20"/>
                <w:szCs w:val="20"/>
              </w:rPr>
              <w:t>Etnapolis-Gesundheit</w:t>
            </w:r>
          </w:p>
          <w:p w14:paraId="529850CC" w14:textId="1BC257E9" w:rsidR="000C487A" w:rsidRPr="00715830" w:rsidRDefault="00715830" w:rsidP="00715830">
            <w:pPr>
              <w:tabs>
                <w:tab w:val="left" w:pos="1500"/>
              </w:tabs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                                    </w:t>
            </w:r>
            <w:r w:rsidR="000C487A" w:rsidRPr="00715830">
              <w:rPr>
                <w:b/>
                <w:bCs/>
                <w:sz w:val="14"/>
                <w:szCs w:val="14"/>
              </w:rPr>
              <w:t>(melior de cinere surgo)</w:t>
            </w:r>
          </w:p>
        </w:tc>
      </w:tr>
      <w:bookmarkEnd w:id="0"/>
    </w:tbl>
    <w:p w14:paraId="59ADB7E3" w14:textId="6698BDE1" w:rsidR="000C487A" w:rsidRDefault="000C487A" w:rsidP="000C487A">
      <w:pPr>
        <w:jc w:val="right"/>
      </w:pPr>
    </w:p>
    <w:p w14:paraId="59F3873A" w14:textId="55FF70AF" w:rsidR="000C487A" w:rsidRDefault="000C487A" w:rsidP="000C487A">
      <w:pPr>
        <w:jc w:val="right"/>
      </w:pPr>
    </w:p>
    <w:p w14:paraId="4A071A6B" w14:textId="40F84661" w:rsidR="000C487A" w:rsidRDefault="00715830" w:rsidP="00715830">
      <w:pPr>
        <w:jc w:val="right"/>
      </w:pPr>
      <w:r>
        <w:rPr>
          <w:noProof/>
        </w:rPr>
        <w:drawing>
          <wp:inline distT="0" distB="0" distL="0" distR="0" wp14:anchorId="0FB0C4CB" wp14:editId="2B580814">
            <wp:extent cx="1635731" cy="1256665"/>
            <wp:effectExtent l="0" t="1270" r="1905" b="1905"/>
            <wp:docPr id="1835118408" name="Grafik 3" descr="Ein Bild, das Person, Kleidung, Menschliches Gesicht, Krawatt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118408" name="Grafik 3" descr="Ein Bild, das Person, Kleidung, Menschliches Gesicht, Krawatte enthält.&#10;&#10;KI-generierte Inhalte können fehlerhaft sein.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646360" cy="1264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3D03F" w14:textId="1E1880B3" w:rsidR="00C214B0" w:rsidRDefault="00C214B0" w:rsidP="000C487A">
      <w:pPr>
        <w:spacing w:after="0"/>
        <w:ind w:left="-567"/>
        <w:jc w:val="right"/>
        <w:rPr>
          <w:b/>
          <w:bCs/>
          <w:sz w:val="20"/>
          <w:szCs w:val="20"/>
        </w:rPr>
      </w:pPr>
      <w:bookmarkStart w:id="1" w:name="_Hlk215058202"/>
      <w:r>
        <w:rPr>
          <w:b/>
          <w:bCs/>
          <w:sz w:val="20"/>
          <w:szCs w:val="20"/>
        </w:rPr>
        <w:t>Roberto Imbraguglia</w:t>
      </w:r>
    </w:p>
    <w:p w14:paraId="7C54A7E6" w14:textId="54915B2E" w:rsidR="000C487A" w:rsidRPr="009F78D5" w:rsidRDefault="000C487A" w:rsidP="000C487A">
      <w:pPr>
        <w:spacing w:after="0"/>
        <w:ind w:left="-567"/>
        <w:jc w:val="right"/>
        <w:rPr>
          <w:b/>
          <w:bCs/>
          <w:sz w:val="20"/>
          <w:szCs w:val="20"/>
        </w:rPr>
      </w:pPr>
      <w:r w:rsidRPr="009F78D5">
        <w:rPr>
          <w:b/>
          <w:bCs/>
          <w:sz w:val="20"/>
          <w:szCs w:val="20"/>
        </w:rPr>
        <w:t>Forsthausstraße 2a, 34305 Niedenstein</w:t>
      </w:r>
    </w:p>
    <w:p w14:paraId="56BA3005" w14:textId="77777777" w:rsidR="000C487A" w:rsidRPr="009F78D5" w:rsidRDefault="000C487A" w:rsidP="000C487A">
      <w:pPr>
        <w:spacing w:after="0"/>
        <w:ind w:left="-567"/>
        <w:jc w:val="right"/>
        <w:rPr>
          <w:b/>
          <w:bCs/>
          <w:sz w:val="20"/>
          <w:szCs w:val="20"/>
        </w:rPr>
      </w:pPr>
      <w:r w:rsidRPr="009F78D5">
        <w:rPr>
          <w:b/>
          <w:bCs/>
          <w:sz w:val="20"/>
          <w:szCs w:val="20"/>
        </w:rPr>
        <w:t>Mobil: 0177 – 68 277 24 / 05624 -92 204 36</w:t>
      </w:r>
    </w:p>
    <w:p w14:paraId="3FD10742" w14:textId="5D54D081" w:rsidR="000C487A" w:rsidRDefault="000C487A" w:rsidP="000C487A">
      <w:pPr>
        <w:spacing w:after="0"/>
        <w:ind w:left="-567"/>
        <w:jc w:val="right"/>
        <w:rPr>
          <w:b/>
          <w:bCs/>
          <w:sz w:val="20"/>
          <w:szCs w:val="20"/>
        </w:rPr>
      </w:pPr>
      <w:r w:rsidRPr="009F78D5">
        <w:rPr>
          <w:b/>
          <w:bCs/>
          <w:sz w:val="20"/>
          <w:szCs w:val="20"/>
        </w:rPr>
        <w:t xml:space="preserve">E-Mail: </w:t>
      </w:r>
      <w:hyperlink r:id="rId6" w:history="1">
        <w:r w:rsidR="00C77E88" w:rsidRPr="00EE1D02">
          <w:rPr>
            <w:rStyle w:val="Hyperlink"/>
            <w:b/>
            <w:bCs/>
            <w:sz w:val="20"/>
            <w:szCs w:val="20"/>
          </w:rPr>
          <w:t>robertoimbraguglia@gmail.com</w:t>
        </w:r>
      </w:hyperlink>
    </w:p>
    <w:p w14:paraId="18D8B042" w14:textId="56FBA6E5" w:rsidR="00C77E88" w:rsidRPr="009F78D5" w:rsidRDefault="00C77E88" w:rsidP="000C487A">
      <w:pPr>
        <w:spacing w:after="0"/>
        <w:ind w:left="-567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Info@etnapolis-gesundheit.de</w:t>
      </w:r>
    </w:p>
    <w:p w14:paraId="511047D7" w14:textId="77777777" w:rsidR="000C487A" w:rsidRDefault="000C487A" w:rsidP="000C487A">
      <w:pPr>
        <w:tabs>
          <w:tab w:val="right" w:pos="9072"/>
        </w:tabs>
        <w:rPr>
          <w:b/>
          <w:bCs/>
        </w:rPr>
      </w:pPr>
    </w:p>
    <w:bookmarkEnd w:id="1"/>
    <w:p w14:paraId="6B54D193" w14:textId="2A16BCFD" w:rsidR="007A0AB0" w:rsidRPr="000C487A" w:rsidRDefault="007A0AB0" w:rsidP="007A0AB0">
      <w:pPr>
        <w:rPr>
          <w:b/>
          <w:bCs/>
        </w:rPr>
      </w:pPr>
      <w:r w:rsidRPr="000C487A">
        <w:rPr>
          <w:b/>
          <w:bCs/>
        </w:rPr>
        <w:t>Konzept: Private Lebensraum- und Pflegeberatung</w:t>
      </w:r>
    </w:p>
    <w:p w14:paraId="2FF8D822" w14:textId="2441E5BE" w:rsidR="007A0AB0" w:rsidRDefault="007A0AB0" w:rsidP="007A0AB0">
      <w:r>
        <w:t>Titel: "</w:t>
      </w:r>
      <w:r w:rsidR="00591FF7">
        <w:t>Lebensgestaltung</w:t>
      </w:r>
      <w:r>
        <w:t xml:space="preserve"> Plus" – Ihre Premium-Begleitung zu selbstbestimmtem Wohnen und Leben.</w:t>
      </w:r>
    </w:p>
    <w:p w14:paraId="78886132" w14:textId="77777777" w:rsidR="007A0AB0" w:rsidRPr="000C487A" w:rsidRDefault="007A0AB0" w:rsidP="007A0AB0">
      <w:pPr>
        <w:rPr>
          <w:b/>
          <w:bCs/>
        </w:rPr>
      </w:pPr>
      <w:r w:rsidRPr="000C487A">
        <w:rPr>
          <w:b/>
          <w:bCs/>
        </w:rPr>
        <w:t>1. Die Positionierung: Exklusivität statt Kassenleistung</w:t>
      </w:r>
    </w:p>
    <w:p w14:paraId="2305BAFE" w14:textId="77777777" w:rsidR="007A0AB0" w:rsidRDefault="007A0AB0" w:rsidP="007A0AB0">
      <w:r>
        <w:t>Wir positionieren uns bewusst nicht als SGB XI- oder SGB V-Standardberater. Wir sind ein privater Partner für Menschen, die höchste Ansprüche an ihre Lebensqualität im Alter oder bei Hilfsbedürftigkeit stellen.</w:t>
      </w:r>
    </w:p>
    <w:p w14:paraId="0A70BDF8" w14:textId="77777777" w:rsidR="007A0AB0" w:rsidRDefault="007A0AB0" w:rsidP="007A0AB0">
      <w:r>
        <w:t xml:space="preserve">    Unser Versprechen: Wir bieten keine 08/15-Kassenleistungen, sondern maßgeschneiderte, ganzheitliche Konzepte, die Ihre Wünsche in den Mittelpunkt stellen – unabhängig von starren gesetzlichen Vorgaben oder Budgetgrenzen der Kassen.</w:t>
      </w:r>
    </w:p>
    <w:p w14:paraId="22349735" w14:textId="77777777" w:rsidR="007A0AB0" w:rsidRDefault="007A0AB0" w:rsidP="007A0AB0">
      <w:r>
        <w:t xml:space="preserve">    Die Abgrenzung: Während gesetzliche Berater oft nur das Nötigste abdecken, zielen wir auf das Optimum ab: maximale Lebensqualität, Wunsch-Wohnformen und eine sorgenfreie Zukunftsplanung.</w:t>
      </w:r>
    </w:p>
    <w:p w14:paraId="5A69D33C" w14:textId="428ED428" w:rsidR="007A0AB0" w:rsidRPr="000C487A" w:rsidRDefault="008E5F86" w:rsidP="007A0AB0">
      <w:pPr>
        <w:rPr>
          <w:b/>
          <w:bCs/>
        </w:rPr>
      </w:pPr>
      <w:r w:rsidRPr="000C487A">
        <w:rPr>
          <w:b/>
          <w:bCs/>
        </w:rPr>
        <w:t>2</w:t>
      </w:r>
      <w:r w:rsidR="007A0AB0" w:rsidRPr="000C487A">
        <w:rPr>
          <w:b/>
          <w:bCs/>
        </w:rPr>
        <w:t>. Die Zielgruppe: Anspruchsvolle Privatklienten</w:t>
      </w:r>
    </w:p>
    <w:p w14:paraId="3A15ADD0" w14:textId="77777777" w:rsidR="007A0AB0" w:rsidRDefault="007A0AB0" w:rsidP="007A0AB0">
      <w:r>
        <w:t xml:space="preserve">    Senioren und deren Familien, die bereit sind, in eine hochwertige, individuelle Planung zu investieren.</w:t>
      </w:r>
    </w:p>
    <w:p w14:paraId="6CB9C765" w14:textId="77777777" w:rsidR="007A0AB0" w:rsidRDefault="007A0AB0" w:rsidP="007A0AB0">
      <w:r>
        <w:t xml:space="preserve">    Menschen, die Selbstbestimmung über alles schätzen und nicht möchten, dass Dritte (Kassen, Ämter) über ihr Leben bestimmen.</w:t>
      </w:r>
    </w:p>
    <w:p w14:paraId="2E236ECB" w14:textId="77777777" w:rsidR="007A0AB0" w:rsidRDefault="007A0AB0" w:rsidP="007A0AB0">
      <w:r>
        <w:lastRenderedPageBreak/>
        <w:t xml:space="preserve">    Personen, die Diskretion, Schnelligkeit und einen persönlichen Ansprechpartner (Concierge-Service) wünschen.</w:t>
      </w:r>
    </w:p>
    <w:p w14:paraId="59F2BD3B" w14:textId="6A563B33" w:rsidR="007A0AB0" w:rsidRPr="000C487A" w:rsidRDefault="007A0AB0" w:rsidP="007A0AB0">
      <w:pPr>
        <w:rPr>
          <w:b/>
          <w:bCs/>
        </w:rPr>
      </w:pPr>
      <w:r w:rsidRPr="000C487A">
        <w:rPr>
          <w:b/>
          <w:bCs/>
        </w:rPr>
        <w:t xml:space="preserve">3. Das Leistungsversprechen: Ganzheitlich und </w:t>
      </w:r>
      <w:r w:rsidR="00591FF7" w:rsidRPr="000C487A">
        <w:rPr>
          <w:b/>
          <w:bCs/>
        </w:rPr>
        <w:t>individuell</w:t>
      </w:r>
    </w:p>
    <w:p w14:paraId="50527565" w14:textId="2CFEED39" w:rsidR="007A0AB0" w:rsidRDefault="007A0AB0" w:rsidP="007A0AB0">
      <w:r>
        <w:t xml:space="preserve">Wir beraten nicht nur zu Pflege (wie es das SGB XI vorschreibt), sondern zu </w:t>
      </w:r>
      <w:r w:rsidR="00591FF7">
        <w:t>leben</w:t>
      </w:r>
      <w:r>
        <w:t>, Wohnen und Wohlbefinden.</w:t>
      </w:r>
    </w:p>
    <w:p w14:paraId="255A0147" w14:textId="77777777" w:rsidR="007A0AB0" w:rsidRDefault="007A0AB0" w:rsidP="007A0AB0">
      <w:r>
        <w:t>Zusammenfassung des Konzepts</w:t>
      </w:r>
    </w:p>
    <w:p w14:paraId="177C0D80" w14:textId="20C2E72D" w:rsidR="009B411E" w:rsidRDefault="007A0AB0" w:rsidP="007A0AB0">
      <w:r>
        <w:t xml:space="preserve">Dieses Konzept überzeugt, indem es dem Klienten die Kontrolle und die Wahlfreiheit zurückgibt. Es positioniert </w:t>
      </w:r>
      <w:r w:rsidR="00C214B0">
        <w:t>die</w:t>
      </w:r>
      <w:r>
        <w:t xml:space="preserve"> Beratung als einen exklusiven Service, der über das gesetzliche Minimum hinausgeht und eine wirkliche Lösung für ein würdevolles, selbstbestimmtes Leben bietet.</w:t>
      </w:r>
    </w:p>
    <w:p w14:paraId="2060E888" w14:textId="77777777" w:rsidR="000C487A" w:rsidRDefault="000C487A" w:rsidP="007A0AB0"/>
    <w:p w14:paraId="78E42EDC" w14:textId="104900D5" w:rsidR="000C487A" w:rsidRDefault="000C487A" w:rsidP="007A0AB0">
      <w:r>
        <w:t>Etnapolis – Gesundheit</w:t>
      </w:r>
    </w:p>
    <w:p w14:paraId="4DE102DD" w14:textId="0B4D2B25" w:rsidR="000C487A" w:rsidRDefault="000C487A" w:rsidP="007A0AB0">
      <w:r>
        <w:t>Roberto Imbraguglia</w:t>
      </w:r>
    </w:p>
    <w:sectPr w:rsidR="000C487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AB0"/>
    <w:rsid w:val="000C487A"/>
    <w:rsid w:val="001F7F24"/>
    <w:rsid w:val="002438A8"/>
    <w:rsid w:val="00591FF7"/>
    <w:rsid w:val="00715830"/>
    <w:rsid w:val="007A0AB0"/>
    <w:rsid w:val="00823433"/>
    <w:rsid w:val="008D5FDE"/>
    <w:rsid w:val="008E5F86"/>
    <w:rsid w:val="00996373"/>
    <w:rsid w:val="009B411E"/>
    <w:rsid w:val="00A01E87"/>
    <w:rsid w:val="00A328C7"/>
    <w:rsid w:val="00A818DE"/>
    <w:rsid w:val="00AC4FC7"/>
    <w:rsid w:val="00B046A5"/>
    <w:rsid w:val="00B97740"/>
    <w:rsid w:val="00C214B0"/>
    <w:rsid w:val="00C77E88"/>
    <w:rsid w:val="00E14B2B"/>
    <w:rsid w:val="00F9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E2128"/>
  <w15:chartTrackingRefBased/>
  <w15:docId w15:val="{2B038F98-17D4-48D2-8BB3-E543D9E83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A0A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A0A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A0A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A0A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A0A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A0A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A0A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A0A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A0A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A0A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A0A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A0A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A0AB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A0AB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A0AB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A0AB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A0AB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A0AB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A0A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A0A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A0A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A0A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A0A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A0AB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A0AB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A0AB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A0A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A0AB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A0AB0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0C4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C77E88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77E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bertoimbraguglia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1701</Characters>
  <Application>Microsoft Office Word</Application>
  <DocSecurity>0</DocSecurity>
  <Lines>44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Imbraguglia Roberto</dc:creator>
  <cp:keywords/>
  <dc:description/>
  <cp:lastModifiedBy>Imbraguglia Roberto</cp:lastModifiedBy>
  <cp:revision>9</cp:revision>
  <dcterms:created xsi:type="dcterms:W3CDTF">2025-11-26T13:11:00Z</dcterms:created>
  <dcterms:modified xsi:type="dcterms:W3CDTF">2025-11-28T11:59:00Z</dcterms:modified>
</cp:coreProperties>
</file>